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D66456" w:rsidRDefault="00277A39">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345A6C" w:rsidP="00277A39">
            <w:pPr>
              <w:rPr>
                <w:sz w:val="26"/>
                <w:szCs w:val="26"/>
                <w:rtl/>
              </w:rPr>
            </w:pPr>
            <w:sdt>
              <w:sdtPr>
                <w:rPr>
                  <w:sz w:val="26"/>
                  <w:szCs w:val="26"/>
                  <w:rtl/>
                </w:rPr>
                <w:alias w:val="1478"/>
                <w:tag w:val="1478"/>
                <w:id w:val="-2076122985"/>
                <w:text w:multiLine="1"/>
              </w:sdtPr>
              <w:sdtEndPr/>
              <w:sdtContent>
                <w:r w:rsidR="00277A39">
                  <w:rPr>
                    <w:rFonts w:ascii="Arial" w:hAnsi="Arial" w:hint="cs"/>
                    <w:b/>
                    <w:bCs/>
                    <w:noProof w:val="0"/>
                    <w:sz w:val="26"/>
                    <w:szCs w:val="26"/>
                    <w:rtl/>
                  </w:rPr>
                  <w:t>פלוני</w:t>
                </w:r>
              </w:sdtContent>
            </w:sdt>
          </w:p>
          <w:p w:rsidR="0094424E" w:rsidRPr="002E5258" w:rsidRDefault="00277A39">
            <w:pPr>
              <w:rPr>
                <w:b/>
                <w:bCs/>
                <w:noProof w:val="0"/>
                <w:sz w:val="26"/>
                <w:szCs w:val="26"/>
              </w:rPr>
            </w:pPr>
            <w:r>
              <w:rPr>
                <w:rFonts w:hint="cs"/>
                <w:sz w:val="26"/>
                <w:szCs w:val="26"/>
                <w:rtl/>
              </w:rPr>
              <w:t>ע"י ב"כ עו"ד ננר את ננר ושות'</w:t>
            </w:r>
          </w:p>
        </w:tc>
      </w:tr>
      <w:tr w:rsidR="0094424E" w:rsidRPr="002E5258">
        <w:trPr>
          <w:jc w:val="center"/>
        </w:trPr>
        <w:tc>
          <w:tcPr>
            <w:tcW w:w="8820" w:type="dxa"/>
            <w:gridSpan w:val="3"/>
          </w:tcPr>
          <w:p w:rsidR="0094424E" w:rsidRPr="00277A39"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345A6C">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345A6C" w:rsidP="00277A39">
            <w:pPr>
              <w:rPr>
                <w:sz w:val="26"/>
                <w:szCs w:val="26"/>
                <w:rtl/>
              </w:rPr>
            </w:pPr>
            <w:sdt>
              <w:sdtPr>
                <w:rPr>
                  <w:sz w:val="26"/>
                  <w:szCs w:val="26"/>
                  <w:rtl/>
                </w:rPr>
                <w:alias w:val="1571"/>
                <w:tag w:val="1571"/>
                <w:id w:val="1028836282"/>
                <w:text w:multiLine="1"/>
              </w:sdtPr>
              <w:sdtEndPr/>
              <w:sdtContent>
                <w:r w:rsidR="00750A27">
                  <w:rPr>
                    <w:rFonts w:ascii="Arial" w:hAnsi="Arial"/>
                    <w:b/>
                    <w:bCs/>
                    <w:noProof w:val="0"/>
                    <w:sz w:val="26"/>
                    <w:szCs w:val="26"/>
                    <w:rtl/>
                  </w:rPr>
                  <w:t>1</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277A39">
                  <w:rPr>
                    <w:rFonts w:ascii="Arial" w:hAnsi="Arial" w:hint="cs"/>
                    <w:b/>
                    <w:bCs/>
                    <w:noProof w:val="0"/>
                    <w:sz w:val="26"/>
                    <w:szCs w:val="26"/>
                    <w:rtl/>
                  </w:rPr>
                  <w:t>פלונית</w:t>
                </w:r>
              </w:sdtContent>
            </w:sdt>
          </w:p>
          <w:p w:rsidR="00740A8F" w:rsidRDefault="00345A6C">
            <w:pPr>
              <w:rPr>
                <w:sz w:val="26"/>
                <w:szCs w:val="26"/>
                <w:rtl/>
              </w:rPr>
            </w:pPr>
            <w:sdt>
              <w:sdtPr>
                <w:rPr>
                  <w:sz w:val="26"/>
                  <w:szCs w:val="26"/>
                  <w:rtl/>
                </w:rPr>
                <w:alias w:val="1571"/>
                <w:tag w:val="1571"/>
                <w:id w:val="1794167733"/>
                <w:text w:multiLine="1"/>
              </w:sdtPr>
              <w:sdtEndPr/>
              <w:sdtContent>
                <w:r w:rsidR="00750A27">
                  <w:rPr>
                    <w:rFonts w:ascii="Arial" w:hAnsi="Arial"/>
                    <w:b/>
                    <w:bCs/>
                    <w:noProof w:val="0"/>
                    <w:sz w:val="26"/>
                    <w:szCs w:val="26"/>
                    <w:rtl/>
                  </w:rPr>
                  <w:t>2</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919448460"/>
                <w:text w:multiLine="1"/>
              </w:sdtPr>
              <w:sdtEndPr/>
              <w:sdtContent>
                <w:r w:rsidR="00277A39">
                  <w:rPr>
                    <w:rFonts w:ascii="Arial" w:hAnsi="Arial" w:hint="cs"/>
                    <w:b/>
                    <w:bCs/>
                    <w:noProof w:val="0"/>
                    <w:sz w:val="26"/>
                    <w:szCs w:val="26"/>
                    <w:rtl/>
                  </w:rPr>
                  <w:t>אלמוני</w:t>
                </w:r>
              </w:sdtContent>
            </w:sdt>
          </w:p>
          <w:p w:rsidR="0094424E" w:rsidRPr="002E5258" w:rsidRDefault="00277A39">
            <w:pPr>
              <w:rPr>
                <w:b/>
                <w:bCs/>
                <w:noProof w:val="0"/>
                <w:sz w:val="26"/>
                <w:szCs w:val="26"/>
                <w:rtl/>
              </w:rPr>
            </w:pPr>
            <w:r>
              <w:rPr>
                <w:rFonts w:hint="cs"/>
                <w:sz w:val="26"/>
                <w:szCs w:val="26"/>
                <w:rtl/>
              </w:rPr>
              <w:t>ע"י ב"כ עו"ד מרים זפט ו/או סיגל זפט</w:t>
            </w:r>
          </w:p>
          <w:p w:rsidR="0094424E" w:rsidRPr="002E5258" w:rsidRDefault="0094424E">
            <w:pPr>
              <w:rPr>
                <w:b/>
                <w:bCs/>
                <w:noProof w:val="0"/>
                <w:sz w:val="26"/>
                <w:szCs w:val="26"/>
                <w:rtl/>
              </w:rPr>
            </w:pPr>
          </w:p>
        </w:tc>
      </w:tr>
    </w:tbl>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277A39" w:rsidRDefault="00277A39" w:rsidP="00277A39">
      <w:pPr>
        <w:spacing w:line="360" w:lineRule="auto"/>
        <w:jc w:val="both"/>
        <w:rPr>
          <w:rFonts w:ascii="David" w:hAnsi="David"/>
          <w:rtl/>
        </w:rPr>
      </w:pPr>
      <w:r>
        <w:rPr>
          <w:rFonts w:ascii="David" w:hAnsi="David"/>
          <w:rtl/>
        </w:rPr>
        <w:t>בקשת רשות ערעור על החלטות בית המשפט לענייני משפחה במחוז תל-אביב ( כב' השופטת אסתר ז'יטניצקי רקובר, בתמ"ש 26034-12-18)</w:t>
      </w:r>
      <w:r w:rsidR="00D9273D">
        <w:rPr>
          <w:rFonts w:ascii="David" w:hAnsi="David" w:hint="cs"/>
          <w:rtl/>
        </w:rPr>
        <w:t>,</w:t>
      </w:r>
      <w:r>
        <w:rPr>
          <w:rFonts w:ascii="David" w:hAnsi="David"/>
          <w:rtl/>
        </w:rPr>
        <w:t xml:space="preserve"> שניתנו במהלך הדיון שהתקיים ביום 18.5.23.</w:t>
      </w:r>
    </w:p>
    <w:p w:rsidR="00277A39" w:rsidRDefault="00277A39" w:rsidP="00277A39">
      <w:pPr>
        <w:spacing w:line="360" w:lineRule="auto"/>
        <w:jc w:val="both"/>
        <w:rPr>
          <w:rFonts w:ascii="David" w:hAnsi="David"/>
          <w:rtl/>
        </w:rPr>
      </w:pPr>
    </w:p>
    <w:p w:rsidR="00277A39" w:rsidRDefault="00277A39" w:rsidP="00277A39">
      <w:pPr>
        <w:spacing w:line="360" w:lineRule="auto"/>
        <w:jc w:val="both"/>
        <w:rPr>
          <w:rFonts w:ascii="David" w:hAnsi="David"/>
          <w:b/>
          <w:bCs/>
          <w:u w:val="single"/>
          <w:rtl/>
        </w:rPr>
      </w:pPr>
      <w:r>
        <w:rPr>
          <w:rFonts w:ascii="David" w:hAnsi="David"/>
          <w:b/>
          <w:bCs/>
          <w:u w:val="single"/>
          <w:rtl/>
        </w:rPr>
        <w:t>העובדות הצריכות לעניין</w:t>
      </w:r>
    </w:p>
    <w:p w:rsidR="00277A39" w:rsidRDefault="00277A39" w:rsidP="00277A39">
      <w:pPr>
        <w:spacing w:line="360" w:lineRule="auto"/>
        <w:jc w:val="both"/>
        <w:rPr>
          <w:rFonts w:ascii="David" w:hAnsi="David"/>
          <w:rtl/>
        </w:rPr>
      </w:pPr>
    </w:p>
    <w:p w:rsidR="00277A39" w:rsidRDefault="0036284C" w:rsidP="00277A39">
      <w:pPr>
        <w:spacing w:line="360" w:lineRule="auto"/>
        <w:jc w:val="both"/>
        <w:rPr>
          <w:rFonts w:ascii="David" w:hAnsi="David"/>
          <w:rtl/>
        </w:rPr>
      </w:pPr>
      <w:r>
        <w:rPr>
          <w:rFonts w:ascii="David" w:hAnsi="David"/>
          <w:rtl/>
        </w:rPr>
        <w:t xml:space="preserve">המבקש הוא התובע בהליך </w:t>
      </w:r>
      <w:r>
        <w:rPr>
          <w:rFonts w:ascii="David" w:hAnsi="David" w:hint="cs"/>
          <w:rtl/>
        </w:rPr>
        <w:t>ש</w:t>
      </w:r>
      <w:r w:rsidR="00277A39">
        <w:rPr>
          <w:rFonts w:ascii="David" w:hAnsi="David"/>
          <w:rtl/>
        </w:rPr>
        <w:t>מתנהל בביהמ"ש קמא ואלו המשיבים 1-2 הם הנתבעים.</w:t>
      </w:r>
    </w:p>
    <w:p w:rsidR="00277A39" w:rsidRDefault="00277A39" w:rsidP="00277A39">
      <w:pPr>
        <w:spacing w:line="360" w:lineRule="auto"/>
        <w:jc w:val="both"/>
        <w:rPr>
          <w:rFonts w:ascii="David" w:hAnsi="David"/>
          <w:rtl/>
        </w:rPr>
      </w:pPr>
    </w:p>
    <w:p w:rsidR="0036284C" w:rsidRDefault="00277A39" w:rsidP="0036284C">
      <w:pPr>
        <w:spacing w:line="360" w:lineRule="auto"/>
        <w:jc w:val="both"/>
        <w:rPr>
          <w:rFonts w:ascii="David" w:hAnsi="David"/>
          <w:rtl/>
        </w:rPr>
      </w:pPr>
      <w:r>
        <w:rPr>
          <w:rFonts w:ascii="David" w:hAnsi="David"/>
          <w:rtl/>
        </w:rPr>
        <w:t xml:space="preserve">במסגרת ישיבת ההוכחות שהתקיימה ביום 18.5.23 , שהפרוטוקול שלה הוקלט ותומלל וצורף כנספח 1 לבר"ע, ניתנו לא פחות מ-4 החלטות שאינן לרוחו של המבקש ועליהן מלין הוא בבקשת רשות הערעור שלפניי. </w:t>
      </w:r>
    </w:p>
    <w:p w:rsidR="0036284C" w:rsidRDefault="0036284C" w:rsidP="0036284C">
      <w:pPr>
        <w:spacing w:line="360" w:lineRule="auto"/>
        <w:jc w:val="both"/>
        <w:rPr>
          <w:rFonts w:ascii="David" w:hAnsi="David"/>
          <w:rtl/>
        </w:rPr>
      </w:pPr>
    </w:p>
    <w:p w:rsidR="00277A39" w:rsidRDefault="00277A39" w:rsidP="0036284C">
      <w:pPr>
        <w:spacing w:line="360" w:lineRule="auto"/>
        <w:jc w:val="both"/>
        <w:rPr>
          <w:rFonts w:ascii="David" w:hAnsi="David"/>
          <w:rtl/>
        </w:rPr>
      </w:pPr>
      <w:r>
        <w:rPr>
          <w:rFonts w:ascii="David" w:hAnsi="David"/>
          <w:rtl/>
        </w:rPr>
        <w:t>ה</w:t>
      </w:r>
      <w:r w:rsidR="0036284C">
        <w:rPr>
          <w:rFonts w:ascii="David" w:hAnsi="David"/>
          <w:rtl/>
        </w:rPr>
        <w:t>החלטה הראשונה עניינה דחיית בקשת</w:t>
      </w:r>
      <w:r w:rsidR="0036284C">
        <w:rPr>
          <w:rFonts w:ascii="David" w:hAnsi="David" w:hint="cs"/>
          <w:rtl/>
        </w:rPr>
        <w:t xml:space="preserve">ו, </w:t>
      </w:r>
      <w:r>
        <w:rPr>
          <w:rFonts w:ascii="David" w:hAnsi="David"/>
          <w:rtl/>
        </w:rPr>
        <w:t>שהועלתה בדיון</w:t>
      </w:r>
      <w:r w:rsidR="0036284C">
        <w:rPr>
          <w:rFonts w:ascii="David" w:hAnsi="David" w:hint="cs"/>
          <w:rtl/>
        </w:rPr>
        <w:t>,</w:t>
      </w:r>
      <w:r>
        <w:rPr>
          <w:rFonts w:ascii="David" w:hAnsi="David"/>
          <w:rtl/>
        </w:rPr>
        <w:t xml:space="preserve"> למשוך את נספח ה'1 מ</w:t>
      </w:r>
      <w:r w:rsidR="0036284C">
        <w:rPr>
          <w:rFonts w:ascii="David" w:hAnsi="David"/>
          <w:rtl/>
        </w:rPr>
        <w:t xml:space="preserve">תצהיר עדותה הראשית של המשיבה 1 </w:t>
      </w:r>
      <w:r>
        <w:rPr>
          <w:rFonts w:ascii="David" w:hAnsi="David"/>
          <w:rtl/>
        </w:rPr>
        <w:t xml:space="preserve">טרם </w:t>
      </w:r>
      <w:r w:rsidR="0036284C">
        <w:rPr>
          <w:rFonts w:ascii="David" w:hAnsi="David" w:hint="cs"/>
          <w:rtl/>
        </w:rPr>
        <w:t>ש</w:t>
      </w:r>
      <w:r>
        <w:rPr>
          <w:rFonts w:ascii="David" w:hAnsi="David"/>
          <w:rtl/>
        </w:rPr>
        <w:t>החל לחקור אותה (בעמ' 63 לפרוט'); ה</w:t>
      </w:r>
      <w:r w:rsidR="0036284C">
        <w:rPr>
          <w:rFonts w:ascii="David" w:hAnsi="David"/>
          <w:rtl/>
        </w:rPr>
        <w:t>החלטה השנייה עניינה בדחיית בקשת</w:t>
      </w:r>
      <w:r w:rsidR="0036284C">
        <w:rPr>
          <w:rFonts w:ascii="David" w:hAnsi="David" w:hint="cs"/>
          <w:rtl/>
        </w:rPr>
        <w:t xml:space="preserve">ו </w:t>
      </w:r>
      <w:r>
        <w:rPr>
          <w:rFonts w:ascii="David" w:hAnsi="David"/>
          <w:rtl/>
        </w:rPr>
        <w:t>להגיש מסמך כלשהו תוך כדי עדות המשיבה 1 (בעמ' 78 לפרוט'); ההחלטה השלישית עניינה בכך שכשהציג המבקש למשיבה 1 במסגרת חקירתה מסמך אחר (ייפוי כח)  ושאל אותה האם חתימתה מתנוססת עליו, המשיבה הסתפקה באמירה כי "המסמך מפוברק" ואלו  "</w:t>
      </w:r>
      <w:r>
        <w:rPr>
          <w:rFonts w:ascii="David" w:hAnsi="David"/>
          <w:b/>
          <w:bCs/>
          <w:rtl/>
        </w:rPr>
        <w:t>ביהמ"ש קמא לא חייב את המשיב</w:t>
      </w:r>
      <w:r w:rsidR="0036284C">
        <w:rPr>
          <w:rFonts w:ascii="David" w:hAnsi="David"/>
          <w:b/>
          <w:bCs/>
          <w:rtl/>
        </w:rPr>
        <w:t>ה מס' 1 לענות על השאלה הישירה א</w:t>
      </w:r>
      <w:r w:rsidR="0036284C">
        <w:rPr>
          <w:rFonts w:ascii="David" w:hAnsi="David" w:hint="cs"/>
          <w:b/>
          <w:bCs/>
          <w:rtl/>
        </w:rPr>
        <w:t>ם</w:t>
      </w:r>
      <w:r>
        <w:rPr>
          <w:rFonts w:ascii="David" w:hAnsi="David"/>
          <w:b/>
          <w:bCs/>
          <w:rtl/>
        </w:rPr>
        <w:t xml:space="preserve"> זו חתימתה ואף נימק זאת בכך שהמשיבה מס' 1 </w:t>
      </w:r>
      <w:r>
        <w:rPr>
          <w:rFonts w:ascii="David" w:hAnsi="David"/>
          <w:b/>
          <w:bCs/>
          <w:rtl/>
        </w:rPr>
        <w:lastRenderedPageBreak/>
        <w:t>אמרה שהמסמך מפוברק</w:t>
      </w:r>
      <w:r>
        <w:rPr>
          <w:rFonts w:ascii="David" w:hAnsi="David"/>
          <w:rtl/>
        </w:rPr>
        <w:t>" (בעמ' 107 לפרוט'); ההחלטה הרביעית עניינה בכך שלטענת המבקש ביהמ"ש קמא בתום ישיבת ההוכחות הקנה למשיבים "</w:t>
      </w:r>
      <w:r>
        <w:rPr>
          <w:rFonts w:ascii="David" w:hAnsi="David"/>
          <w:b/>
          <w:bCs/>
          <w:rtl/>
        </w:rPr>
        <w:t>רשות כללית להגיש כל מסמך שלא גולה בתצהיר גילוי המסמכים של המשיבים</w:t>
      </w:r>
      <w:r>
        <w:rPr>
          <w:rFonts w:ascii="David" w:hAnsi="David"/>
          <w:rtl/>
        </w:rPr>
        <w:t>" (בעמ' 115 לפרוט').</w:t>
      </w:r>
    </w:p>
    <w:p w:rsidR="00277A39" w:rsidRDefault="00277A39" w:rsidP="00277A39">
      <w:pPr>
        <w:spacing w:line="360" w:lineRule="auto"/>
        <w:jc w:val="both"/>
        <w:rPr>
          <w:rFonts w:ascii="David" w:hAnsi="David"/>
          <w:rtl/>
        </w:rPr>
      </w:pPr>
    </w:p>
    <w:p w:rsidR="00277A39" w:rsidRDefault="00277A39" w:rsidP="00277A39">
      <w:pPr>
        <w:spacing w:line="360" w:lineRule="auto"/>
        <w:jc w:val="both"/>
        <w:rPr>
          <w:rFonts w:ascii="David" w:hAnsi="David"/>
          <w:b/>
          <w:bCs/>
          <w:u w:val="single"/>
          <w:rtl/>
        </w:rPr>
      </w:pPr>
      <w:r>
        <w:rPr>
          <w:rFonts w:ascii="David" w:hAnsi="David"/>
          <w:b/>
          <w:bCs/>
          <w:u w:val="single"/>
          <w:rtl/>
        </w:rPr>
        <w:t>דיון והכרעה</w:t>
      </w:r>
    </w:p>
    <w:p w:rsidR="00277A39" w:rsidRDefault="00277A39" w:rsidP="00277A39">
      <w:pPr>
        <w:spacing w:line="360" w:lineRule="auto"/>
        <w:jc w:val="both"/>
        <w:rPr>
          <w:rFonts w:ascii="David" w:hAnsi="David"/>
          <w:rtl/>
        </w:rPr>
      </w:pPr>
    </w:p>
    <w:p w:rsidR="00277A39" w:rsidRDefault="00277A39" w:rsidP="00277A39">
      <w:pPr>
        <w:spacing w:line="360" w:lineRule="auto"/>
        <w:jc w:val="both"/>
        <w:rPr>
          <w:rFonts w:ascii="David" w:hAnsi="David"/>
          <w:rtl/>
        </w:rPr>
      </w:pPr>
      <w:r>
        <w:rPr>
          <w:rFonts w:ascii="David" w:hAnsi="David"/>
          <w:rtl/>
        </w:rPr>
        <w:t>לאחר עיון בבקשת רשות הערעור ובנספחיה החלטתי לדחות את בקשת רשות הערעור ללא צורך בקבלת תשובה.</w:t>
      </w:r>
    </w:p>
    <w:p w:rsidR="00277A39" w:rsidRDefault="00277A39" w:rsidP="00277A39">
      <w:pPr>
        <w:spacing w:after="200" w:line="360" w:lineRule="auto"/>
        <w:jc w:val="both"/>
        <w:rPr>
          <w:rFonts w:ascii="David" w:hAnsi="David"/>
          <w:rtl/>
        </w:rPr>
      </w:pPr>
    </w:p>
    <w:p w:rsidR="00277A39" w:rsidRDefault="00277A39" w:rsidP="00277A39">
      <w:pPr>
        <w:spacing w:line="360" w:lineRule="auto"/>
        <w:jc w:val="both"/>
        <w:rPr>
          <w:rFonts w:ascii="David" w:hAnsi="David"/>
          <w:rtl/>
        </w:rPr>
      </w:pPr>
      <w:r>
        <w:rPr>
          <w:rFonts w:ascii="David" w:hAnsi="David"/>
          <w:rtl/>
        </w:rPr>
        <w:t>ככלל, יידונו השגות צדדים על "החלטות אחרות" (החלטות 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  (סעיפים 41(ב) ו- 52(ב)  לחוק בתי המשפט [נוסח משולב], תשמ"ד-1984 ; תקנה 150 לתקנות סדר הדין האזרחי, התשע"ט-2018).</w:t>
      </w:r>
    </w:p>
    <w:p w:rsidR="00277A39" w:rsidRDefault="00277A39" w:rsidP="00277A39">
      <w:pPr>
        <w:spacing w:after="200" w:line="360" w:lineRule="auto"/>
        <w:jc w:val="both"/>
        <w:rPr>
          <w:rFonts w:ascii="David" w:hAnsi="David"/>
          <w:rtl/>
        </w:rPr>
      </w:pPr>
    </w:p>
    <w:p w:rsidR="00277A39" w:rsidRDefault="00277A39" w:rsidP="00277A39">
      <w:pPr>
        <w:spacing w:line="360" w:lineRule="auto"/>
        <w:jc w:val="both"/>
        <w:rPr>
          <w:rFonts w:ascii="David" w:hAnsi="David"/>
          <w:rtl/>
        </w:rPr>
      </w:pPr>
      <w:r>
        <w:rPr>
          <w:rFonts w:ascii="David" w:hAnsi="David"/>
          <w:rtl/>
        </w:rPr>
        <w:t>הליך בקשת רשות הערעור נועד להותיר בידי בית המשפט שיקול דעת אם ליתן רשות ערעור ולקיים בירור "ערעורי" ביחס לטענות שהועלו. בכך, מתאפשרת יכולת סינון מסוימת לגבי בקשות מהסוג דנא, שמקורה ברצון למנוע ריבוי התדיינויות ואת הטרדת בעלי הדין ובית המשפט, שהרי אחרת אין משמעות לעובדה כי מדובר בבקשת רשות ערעור: "</w:t>
      </w:r>
      <w:r>
        <w:rPr>
          <w:rFonts w:ascii="David" w:hAnsi="David"/>
          <w:b/>
          <w:bCs/>
          <w:rtl/>
        </w:rPr>
        <w:t>בקשת רשות ערעור כשמה כן היא. אין ערעור בזכות. על העותר להרשות לו לערער לשכנע את בית המשפט שקיימת הצדקה לדון בעניין מסוים לגופו כאשר החוק אינו מחייב זאת"</w:t>
      </w:r>
      <w:r>
        <w:rPr>
          <w:rFonts w:ascii="David" w:hAnsi="David"/>
          <w:rtl/>
        </w:rPr>
        <w:t xml:space="preserve"> (בע"מ 3795/11 </w:t>
      </w:r>
      <w:r>
        <w:rPr>
          <w:rFonts w:ascii="David" w:hAnsi="David"/>
          <w:b/>
          <w:bCs/>
          <w:u w:val="single"/>
          <w:rtl/>
        </w:rPr>
        <w:t>פלוני נ' פלוני</w:t>
      </w:r>
      <w:r>
        <w:rPr>
          <w:rFonts w:ascii="David" w:hAnsi="David"/>
          <w:rtl/>
        </w:rPr>
        <w:t xml:space="preserve">, [פורסם בנבו] פסקה 4 (13.7.2011); רע"א 7682/06 </w:t>
      </w:r>
      <w:r>
        <w:rPr>
          <w:rFonts w:ascii="David" w:hAnsi="David"/>
          <w:b/>
          <w:bCs/>
          <w:u w:val="single"/>
          <w:rtl/>
        </w:rPr>
        <w:t>אליהו חברה לביטוח בע"מ נ' אלוש</w:t>
      </w:r>
      <w:r>
        <w:rPr>
          <w:rFonts w:ascii="David" w:hAnsi="David"/>
          <w:rtl/>
        </w:rPr>
        <w:t xml:space="preserve">, [פורסם בנבו] פסקה 3 (25.6.2007). </w:t>
      </w:r>
    </w:p>
    <w:p w:rsidR="00277A39" w:rsidRDefault="00277A39" w:rsidP="00277A39">
      <w:pPr>
        <w:spacing w:line="360" w:lineRule="auto"/>
        <w:jc w:val="both"/>
        <w:rPr>
          <w:rFonts w:ascii="David" w:hAnsi="David"/>
          <w:rtl/>
        </w:rPr>
      </w:pPr>
    </w:p>
    <w:p w:rsidR="00277A39" w:rsidRDefault="00277A39" w:rsidP="00277A39">
      <w:pPr>
        <w:spacing w:before="100" w:beforeAutospacing="1" w:after="100" w:afterAutospacing="1" w:line="360" w:lineRule="auto"/>
        <w:jc w:val="both"/>
        <w:rPr>
          <w:rFonts w:ascii="David" w:hAnsi="David"/>
          <w:rtl/>
        </w:rPr>
      </w:pPr>
      <w:r>
        <w:rPr>
          <w:rFonts w:ascii="David" w:hAnsi="David"/>
          <w:rtl/>
        </w:rPr>
        <w:t xml:space="preserve">אמות המידה למתן רשות ערעור עשויות להשתנות בהתאם לאופייה של ההחלטה שעליה מבקשים לערער, ולתכלית העומדת ביסוד ההגבלה על זכות הערעור. רשות לערער על החלטת ביניים תינתן בהתחשב בצורך בהכרעה מידית לגביה (סעיפים 41(ב) ו-52(ב) לחוק בתי המשפט [נוסח משולב], התשמ"ד-1984; רע"א 7682/06 , שם). מבין הנסיבות אותן ניתן למנות לעניין נחיצות הדיון הן: הדירותה של ההחלטה, היינו, האם ההחלטה עשויה להשפיע באופן בלתי הפיך על זכויות הצדדים; </w:t>
      </w:r>
      <w:r>
        <w:rPr>
          <w:rFonts w:ascii="David" w:hAnsi="David"/>
          <w:rtl/>
        </w:rPr>
        <w:lastRenderedPageBreak/>
        <w:t xml:space="preserve">ההכרעה עשויה לייתר הליך משפטי ארוך ומורכב במיוחד; ההכרעה תמנע קיומו של הליך שגוי (ראו ע"א 226/65 </w:t>
      </w:r>
      <w:r>
        <w:rPr>
          <w:rFonts w:ascii="David" w:hAnsi="David"/>
          <w:b/>
          <w:bCs/>
          <w:u w:val="single"/>
          <w:rtl/>
        </w:rPr>
        <w:t>אליהו נ' עזרא</w:t>
      </w:r>
      <w:r>
        <w:rPr>
          <w:rFonts w:ascii="David" w:hAnsi="David"/>
          <w:rtl/>
        </w:rPr>
        <w:t xml:space="preserve"> פ"ד יט(3) 571, 537 ראו גם רע"א 2856/12 </w:t>
      </w:r>
      <w:r>
        <w:rPr>
          <w:rFonts w:ascii="David" w:hAnsi="David"/>
          <w:b/>
          <w:bCs/>
          <w:u w:val="single"/>
          <w:rtl/>
        </w:rPr>
        <w:t>גדעון כהן ו-21 אח' נ' מע"צ</w:t>
      </w:r>
      <w:r>
        <w:rPr>
          <w:rFonts w:ascii="David" w:hAnsi="David"/>
          <w:rtl/>
        </w:rPr>
        <w:t xml:space="preserve">, פורסם במאגר נבו 20.5.2012). על העותר למתן רשות הערעור מוטל הנטל להצביע על טעם בגינו מן הראוי להעניק לו רשות ערעור.  </w:t>
      </w:r>
    </w:p>
    <w:p w:rsidR="00277A39" w:rsidRDefault="00277A39" w:rsidP="00277A39">
      <w:pPr>
        <w:spacing w:before="100" w:beforeAutospacing="1" w:after="100" w:afterAutospacing="1" w:line="360" w:lineRule="auto"/>
        <w:jc w:val="both"/>
        <w:rPr>
          <w:rFonts w:ascii="David" w:eastAsiaTheme="minorHAnsi" w:hAnsi="David"/>
          <w:rtl/>
        </w:rPr>
      </w:pPr>
      <w:r>
        <w:rPr>
          <w:rFonts w:ascii="David" w:hAnsi="David"/>
          <w:rtl/>
        </w:rPr>
        <w:t>במקרה דנן, גם לאחר קריאה שנייה של בקשת רשות הערעור, המבקש כלל לא טרח להצביע על טעם בגינו ראוי לבחון את השגותיו בשלב הזה ולא במסגרת פסה"ד בהליך העיקרי. בבקשת רשות הערעור התמקד המבקש בטיעוניו רק במה שלטעמו שגוי בכל אחת מההחלטות אך לא סיפק כל הסבר מדוע לא ניתן לדחות את הדיון בהשגותיו אלו ומדוע יש להעניק רשות ערעור לשם בחינתן. די בכך כדי לדחות את בקשת רשות הערעור.  עם זאת, ובאותו הקשר אציין גם את הדברים הבאים: בכל הנוגע להחלטה הראשונה -  המבקש מלין על כך שביהמ"ש קמא סירב לבקשתו שהועלתה בדיון להוצאת נספח ה'1 מתצהיר המשיבה 1 טרם החל לחקור אותה אך לא מציין כלל מה התרחש בהמשך החקירה, האם חקר את המשיבה 1 על המסמך (שלטענתו כלל לא נערך על-ידה) ומדוע הוא סבור כי ביהמ"ש קמא קיבל את המסמך "</w:t>
      </w:r>
      <w:r>
        <w:rPr>
          <w:rFonts w:ascii="David" w:hAnsi="David"/>
          <w:b/>
          <w:bCs/>
          <w:rtl/>
        </w:rPr>
        <w:t>כראייה לנכונות תוכנו</w:t>
      </w:r>
      <w:r>
        <w:rPr>
          <w:rFonts w:ascii="David" w:hAnsi="David"/>
          <w:rtl/>
        </w:rPr>
        <w:t xml:space="preserve">" (בס' 9 לבר"ע) בשעה שביהמ"ש קמא כלל לא קבע כך בהחלטתו. בכל הנוגע להחלטה השנייה – המבקש טוען כי המסמך שביקש להגיש (וביהמ"ש קמא סירב לכך) מהווה הוכחה ברורה לאחת מטענותיו אך לא מסביר האם אותה טענה גם מוכחת באמצעות ראיות אחרות שהגיש תוך כדי ההליך  (כשהמבקש מציין בסעיף 3ב' לבר"ע כי צירף מאות מסמכים לתצהירו) ובמידה ולא מדוע ביקש להגיש את אותו מסמך רק בשלב החקירה הנגדית של המשיבים. בכל הנוגע להחלטה השלישית – נראה שבקשת רשות הערעור בעניין זה דינה להידחות על הסף משום שהיא נסבה על </w:t>
      </w:r>
      <w:r>
        <w:rPr>
          <w:rFonts w:ascii="David" w:hAnsi="David"/>
          <w:b/>
          <w:bCs/>
          <w:rtl/>
        </w:rPr>
        <w:t xml:space="preserve"> </w:t>
      </w:r>
      <w:r>
        <w:rPr>
          <w:rFonts w:ascii="David" w:hAnsi="David"/>
          <w:b/>
          <w:bCs/>
        </w:rPr>
        <w:t xml:space="preserve"> "</w:t>
      </w:r>
      <w:r>
        <w:rPr>
          <w:rFonts w:ascii="David" w:hAnsi="David"/>
          <w:b/>
          <w:bCs/>
          <w:rtl/>
        </w:rPr>
        <w:t>החלטה בעניין הזמנת עדים, סדר שמיעת עדים, ושאלות המוצגות לעדים לרבות קבלה או דחייה של התנגדות בעניין זה... </w:t>
      </w:r>
      <w:r>
        <w:rPr>
          <w:rFonts w:ascii="David" w:hAnsi="David"/>
        </w:rPr>
        <w:t xml:space="preserve"> "</w:t>
      </w:r>
      <w:r>
        <w:rPr>
          <w:rFonts w:ascii="David" w:hAnsi="David"/>
          <w:rtl/>
        </w:rPr>
        <w:t xml:space="preserve"> </w:t>
      </w:r>
      <w:r>
        <w:rPr>
          <w:rFonts w:ascii="David" w:hAnsi="David" w:hint="cs"/>
          <w:rtl/>
        </w:rPr>
        <w:t>, החלטה שלגביה נקבע כי לא תינתן רשות ערעור</w:t>
      </w:r>
      <w:r>
        <w:rPr>
          <w:rFonts w:ascii="David" w:hAnsi="David"/>
        </w:rPr>
        <w:t xml:space="preserve"> </w:t>
      </w:r>
      <w:r>
        <w:rPr>
          <w:rFonts w:ascii="David" w:hAnsi="David"/>
          <w:rtl/>
        </w:rPr>
        <w:t xml:space="preserve"> בהוראת </w:t>
      </w:r>
      <w:r w:rsidRPr="00277A39">
        <w:rPr>
          <w:rFonts w:ascii="David" w:hAnsi="David" w:hint="cs"/>
          <w:rtl/>
        </w:rPr>
        <w:t>סעיף 1</w:t>
      </w:r>
      <w:r w:rsidRPr="00277A39">
        <w:rPr>
          <w:rFonts w:ascii="David" w:hAnsi="David"/>
        </w:rPr>
        <w:t>(5)</w:t>
      </w:r>
      <w:r>
        <w:rPr>
          <w:rFonts w:ascii="David" w:hAnsi="David"/>
        </w:rPr>
        <w:t> </w:t>
      </w:r>
      <w:r>
        <w:rPr>
          <w:rFonts w:ascii="David" w:hAnsi="David"/>
          <w:rtl/>
        </w:rPr>
        <w:t xml:space="preserve"> לצו בתי המשפט (סוגי החלטות שלא תינתן בהן רשות ערעור)</w:t>
      </w:r>
      <w:r>
        <w:rPr>
          <w:rFonts w:ascii="David" w:hAnsi="David"/>
        </w:rPr>
        <w:t xml:space="preserve">, </w:t>
      </w:r>
      <w:r>
        <w:rPr>
          <w:rFonts w:ascii="David" w:hAnsi="David"/>
          <w:rtl/>
        </w:rPr>
        <w:t>התשס"ט-2009. ובכל הנוגע להחלטה הרביעית – המבקש טוען כי יש לראות בהחלטת ביהמ"ש כ"</w:t>
      </w:r>
      <w:r w:rsidR="0036284C">
        <w:rPr>
          <w:rFonts w:ascii="David" w:hAnsi="David"/>
          <w:b/>
          <w:bCs/>
          <w:rtl/>
        </w:rPr>
        <w:t>מתן רשות כללית להג</w:t>
      </w:r>
      <w:r w:rsidR="0036284C">
        <w:rPr>
          <w:rFonts w:ascii="David" w:hAnsi="David" w:hint="cs"/>
          <w:b/>
          <w:bCs/>
          <w:rtl/>
        </w:rPr>
        <w:t>י</w:t>
      </w:r>
      <w:r>
        <w:rPr>
          <w:rFonts w:ascii="David" w:hAnsi="David"/>
          <w:b/>
          <w:bCs/>
          <w:rtl/>
        </w:rPr>
        <w:t>ש כל מסמך שלא גולה בתצהיר גילוי המסמכים של המשיבים</w:t>
      </w:r>
      <w:r>
        <w:rPr>
          <w:rFonts w:ascii="David" w:hAnsi="David"/>
          <w:rtl/>
        </w:rPr>
        <w:t>" (ס' 13א' לבר"ע) .למרות שההחלטה ניתנה ביום 18.5.23 והבר"ע הוגשה חודשיים לאחר מכן (ביום 18.5.23. יצוין כי פרוטוקול הדיון, שנערך כאמור בהחלטה, הומצא לטענת המבקש באיחור משמעותי) המבקש לא ידע להצביע על שימוש כלשהו שנעשה ב"</w:t>
      </w:r>
      <w:r>
        <w:rPr>
          <w:rFonts w:ascii="David" w:hAnsi="David"/>
          <w:b/>
          <w:bCs/>
          <w:rtl/>
        </w:rPr>
        <w:t>רשות</w:t>
      </w:r>
      <w:r>
        <w:rPr>
          <w:rFonts w:ascii="David" w:hAnsi="David"/>
          <w:rtl/>
        </w:rPr>
        <w:t>" זו בפועל (בסעיף 16(א) לבר"ע המבקש עותר לביטול אותה החלטה המתירה למשיבים הגשת מסמכים "</w:t>
      </w:r>
      <w:r>
        <w:rPr>
          <w:rFonts w:ascii="David" w:hAnsi="David"/>
          <w:b/>
          <w:bCs/>
          <w:rtl/>
        </w:rPr>
        <w:t>וככל שאלה כבר הוגשו – להסירם מתיק כב' ביהמ"ש"</w:t>
      </w:r>
      <w:r>
        <w:rPr>
          <w:rFonts w:ascii="David" w:hAnsi="David"/>
          <w:rtl/>
        </w:rPr>
        <w:t xml:space="preserve">) . בנוסף, מעיון בהחלטה לא עולה כי ביהמ"ש קמא הקנה למשיבים אותה "רשות כללית" שלה מכוון המבקש. ביהמ"ש קמא בהחלטתו לא קבע כי המשיבים רשאים להגיש מסמכים שלא צורפו לתצהיר העדות </w:t>
      </w:r>
      <w:r>
        <w:rPr>
          <w:rFonts w:ascii="David" w:hAnsi="David"/>
          <w:rtl/>
        </w:rPr>
        <w:lastRenderedPageBreak/>
        <w:t>הראשית ישירות לתיק ביהמ"ש אלא קבע כי "</w:t>
      </w:r>
      <w:r>
        <w:rPr>
          <w:rFonts w:ascii="David" w:hAnsi="David"/>
          <w:b/>
          <w:bCs/>
          <w:rtl/>
        </w:rPr>
        <w:t xml:space="preserve">במידה ולגברתי כן לנתבעת יש מסמכים חדשים שלא גולו בגילוי מסמכים ולא צורפו לתצהיר העדות הראשית והיא חושבת שזה יכול לסייע לגרסתה, </w:t>
      </w:r>
      <w:r>
        <w:rPr>
          <w:rFonts w:ascii="David" w:hAnsi="David"/>
          <w:b/>
          <w:bCs/>
          <w:u w:val="single"/>
          <w:rtl/>
        </w:rPr>
        <w:t>זכותה להעביר את זה לצד השני תוך 30 יום ואם</w:t>
      </w:r>
      <w:r>
        <w:rPr>
          <w:rFonts w:ascii="David" w:hAnsi="David"/>
          <w:b/>
          <w:bCs/>
          <w:rtl/>
        </w:rPr>
        <w:t xml:space="preserve"> ולצרף את זה כמובן לבית המשפט. לצרף את זה פשוט לתיק בית המשפט" </w:t>
      </w:r>
      <w:r>
        <w:rPr>
          <w:rFonts w:ascii="David" w:hAnsi="David"/>
          <w:rtl/>
        </w:rPr>
        <w:t xml:space="preserve">(הדגשות שלי ש'ש') </w:t>
      </w:r>
      <w:r>
        <w:rPr>
          <w:rFonts w:ascii="David" w:hAnsi="David"/>
          <w:b/>
          <w:bCs/>
          <w:rtl/>
        </w:rPr>
        <w:t xml:space="preserve">. </w:t>
      </w:r>
      <w:r>
        <w:rPr>
          <w:rFonts w:ascii="David" w:hAnsi="David"/>
          <w:rtl/>
        </w:rPr>
        <w:t>כאמור, פרוטוקול הדיון נערך כהקלטה ונראה שפסקה זו תומללה בחסר, אך גם מהקיים בה ניכר כי כוונת ביהמ"ש קמא לא הייתה לתת רשות כללית למשיבים להגיש מסמכים חדשים ככל העולה על רוחם שאחרת על מה ולמה ציין כי על המשיבים להעביר את המסמכים ראשית לצד השני ומה משמעות המילה "</w:t>
      </w:r>
      <w:r>
        <w:rPr>
          <w:rFonts w:ascii="David" w:hAnsi="David"/>
          <w:b/>
          <w:bCs/>
          <w:rtl/>
        </w:rPr>
        <w:t>ואם</w:t>
      </w:r>
      <w:r>
        <w:rPr>
          <w:rFonts w:ascii="David" w:hAnsi="David"/>
          <w:rtl/>
        </w:rPr>
        <w:t>" שהופיעה לאחר מכן? יצוין כי אם כוונת ביהמ"ש קמא הייתה להקנות למשיבה רשות כללית להגשת מסמכים "תוך 30 יום" מהמועד בו הסתיים הדיון הרי שממילא מועד זה כבר חלף בענייננו ומשהמבקש לא טוען כי המשיבה מימשה זכות זו שהוקנתה בידה הרי שבפועל להחלטה לא היתה כל נפקות מעשית.</w:t>
      </w:r>
    </w:p>
    <w:p w:rsidR="00277A39" w:rsidRDefault="00277A39" w:rsidP="00277A39">
      <w:pPr>
        <w:spacing w:before="100" w:beforeAutospacing="1" w:after="100" w:afterAutospacing="1" w:line="360" w:lineRule="auto"/>
        <w:jc w:val="both"/>
        <w:rPr>
          <w:rFonts w:ascii="David" w:hAnsi="David"/>
          <w:rtl/>
        </w:rPr>
      </w:pPr>
    </w:p>
    <w:p w:rsidR="00277A39" w:rsidRDefault="00277A39" w:rsidP="00277A39">
      <w:pPr>
        <w:spacing w:before="100" w:beforeAutospacing="1" w:after="100" w:afterAutospacing="1" w:line="360" w:lineRule="auto"/>
        <w:jc w:val="both"/>
        <w:rPr>
          <w:rFonts w:ascii="David" w:hAnsi="David"/>
          <w:b/>
          <w:bCs/>
          <w:u w:val="single"/>
          <w:rtl/>
        </w:rPr>
      </w:pPr>
      <w:r>
        <w:rPr>
          <w:rFonts w:ascii="David" w:hAnsi="David"/>
          <w:b/>
          <w:bCs/>
          <w:u w:val="single"/>
          <w:rtl/>
        </w:rPr>
        <w:t>סוף דבר</w:t>
      </w:r>
    </w:p>
    <w:p w:rsidR="00277A39" w:rsidRDefault="00277A39" w:rsidP="00277A39">
      <w:pPr>
        <w:spacing w:before="100" w:beforeAutospacing="1" w:after="100" w:afterAutospacing="1" w:line="360" w:lineRule="auto"/>
        <w:jc w:val="both"/>
        <w:rPr>
          <w:rFonts w:ascii="David" w:hAnsi="David"/>
          <w:rtl/>
        </w:rPr>
      </w:pPr>
      <w:r>
        <w:rPr>
          <w:rFonts w:ascii="David" w:hAnsi="David"/>
          <w:rtl/>
        </w:rPr>
        <w:t>לאור כל האמור לעיל, בקשת רשות הערעור נדחית.</w:t>
      </w:r>
    </w:p>
    <w:p w:rsidR="00277A39" w:rsidRDefault="00277A39" w:rsidP="00277A39">
      <w:pPr>
        <w:spacing w:before="100" w:beforeAutospacing="1" w:after="100" w:afterAutospacing="1" w:line="360" w:lineRule="auto"/>
        <w:jc w:val="both"/>
        <w:rPr>
          <w:rFonts w:ascii="David" w:hAnsi="David"/>
          <w:rtl/>
        </w:rPr>
      </w:pPr>
      <w:r>
        <w:rPr>
          <w:rFonts w:ascii="David" w:hAnsi="David"/>
          <w:rtl/>
        </w:rPr>
        <w:t>משלא התבקשה תשובה – אין צו להוצאות.</w:t>
      </w:r>
    </w:p>
    <w:p w:rsidR="00277A39" w:rsidRDefault="00277A39" w:rsidP="00277A39">
      <w:pPr>
        <w:spacing w:before="100" w:beforeAutospacing="1" w:after="100" w:afterAutospacing="1" w:line="360" w:lineRule="auto"/>
        <w:jc w:val="both"/>
        <w:rPr>
          <w:rFonts w:ascii="David" w:hAnsi="David"/>
          <w:rtl/>
        </w:rPr>
      </w:pPr>
      <w:r>
        <w:rPr>
          <w:rFonts w:ascii="David" w:hAnsi="David"/>
          <w:rtl/>
        </w:rPr>
        <w:t>העירבון, על פירותיו, יוחזר למבקש באמצעות בא כוחו.</w:t>
      </w:r>
    </w:p>
    <w:p w:rsidR="00277A39" w:rsidRDefault="00277A39" w:rsidP="00277A39">
      <w:pPr>
        <w:spacing w:before="100" w:beforeAutospacing="1" w:after="100" w:afterAutospacing="1"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אוגוסט 2023</w:t>
          </w:r>
        </w:sdtContent>
      </w:sdt>
      <w:r w:rsidR="00005C8B">
        <w:rPr>
          <w:rFonts w:ascii="Arial" w:hAnsi="Arial"/>
          <w:noProof w:val="0"/>
          <w:rtl/>
        </w:rPr>
        <w:t>, בהעדר הצדדים.</w:t>
      </w:r>
    </w:p>
    <w:p w:rsidR="00C43648" w:rsidRDefault="00345A6C"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345A6C" w:rsidP="00C43648">
      <w:pPr>
        <w:tabs>
          <w:tab w:val="left" w:pos="2553"/>
        </w:tabs>
        <w:ind w:left="5040"/>
      </w:pPr>
      <w:sdt>
        <w:sdtPr>
          <w:rPr>
            <w:rtl/>
          </w:rPr>
          <w:alias w:val="MergeField"/>
          <w:tag w:val="1237"/>
          <w:id w:val="-282261497"/>
        </w:sdtPr>
        <w:sdtEndPr/>
        <w:sdtContent>
          <w:r w:rsidR="00516169">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A6C" w:rsidRDefault="00345A6C">
      <w:r>
        <w:separator/>
      </w:r>
    </w:p>
  </w:endnote>
  <w:endnote w:type="continuationSeparator" w:id="0">
    <w:p w:rsidR="00345A6C" w:rsidRDefault="0034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321" w:rsidRDefault="008463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68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686F">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321" w:rsidRDefault="008463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A6C" w:rsidRDefault="00345A6C">
      <w:r>
        <w:separator/>
      </w:r>
    </w:p>
  </w:footnote>
  <w:footnote w:type="continuationSeparator" w:id="0">
    <w:p w:rsidR="00345A6C" w:rsidRDefault="0034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321" w:rsidRDefault="008463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rsidTr="00277A39">
      <w:trPr>
        <w:trHeight w:val="428"/>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45A6C" w:rsidP="00277A39">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36881-07-23</w:t>
              </w:r>
            </w:sdtContent>
          </w:sdt>
          <w:r w:rsidR="00005C8B">
            <w:rPr>
              <w:b/>
              <w:bCs/>
              <w:noProof w:val="0"/>
              <w:sz w:val="26"/>
              <w:szCs w:val="26"/>
              <w:rtl/>
            </w:rPr>
            <w:t xml:space="preserve"> </w:t>
          </w:r>
          <w:sdt>
            <w:sdtPr>
              <w:rPr>
                <w:rtl/>
              </w:rPr>
              <w:alias w:val="1172"/>
              <w:tag w:val="1172"/>
              <w:id w:val="-595170033"/>
              <w:text w:multiLine="1"/>
            </w:sdtPr>
            <w:sdtEndPr/>
            <w:sdtContent>
              <w:r w:rsidR="00277A39">
                <w:rPr>
                  <w:rFonts w:hint="cs"/>
                  <w:b/>
                  <w:bCs/>
                  <w:noProof w:val="0"/>
                  <w:sz w:val="26"/>
                  <w:szCs w:val="26"/>
                  <w:rtl/>
                </w:rPr>
                <w:t>פלוני נ' אלמונית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321" w:rsidRDefault="008463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3374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33747&amp;lt;/CaseID&amp;gt;_x000d__x000a_        &amp;lt;CaseMonth&amp;gt;7&amp;lt;/CaseMonth&amp;gt;_x000d__x000a_        &amp;lt;CaseYear&amp;gt;2023&amp;lt;/CaseYear&amp;gt;_x000d__x000a_        &amp;lt;CaseNumber&amp;gt;36881&amp;lt;/CaseNumber&amp;gt;_x000d__x000a_        &amp;lt;NumeratorGroupID&amp;gt;1&amp;lt;/NumeratorGroupID&amp;gt;_x000d__x000a_        &amp;lt;CaseName&amp;gt;בנזכריה נ&amp;#39; מובדט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6881-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7-17T10:3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מו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33747&amp;lt;/CaseID&amp;gt;_x000d__x000a_        &amp;lt;CaseMonth&amp;gt;7&amp;lt;/CaseMonth&amp;gt;_x000d__x000a_        &amp;lt;CaseYear&amp;gt;2023&amp;lt;/CaseYear&amp;gt;_x000d__x000a_        &amp;lt;CaseNumber&amp;gt;36881&amp;lt;/CaseNumber&amp;gt;_x000d__x000a_        &amp;lt;NumeratorGroupID&amp;gt;1&amp;lt;/NumeratorGroupID&amp;gt;_x000d__x000a_        &amp;lt;CaseName&amp;gt;בנזכריה נ&amp;#39; מובדט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6881-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7-17T10:3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מו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59838&amp;lt;/DecisionID&amp;gt;_x000d__x000a_        &amp;lt;DecisionName&amp;gt;החלטה  שניתנה ע&amp;quot;י  שאול שוחט&amp;lt;/DecisionName&amp;gt;_x000d__x000a_        &amp;lt;DecisionStatusID&amp;gt;1&amp;lt;/DecisionStatusID&amp;gt;_x000d__x000a_        &amp;lt;DecisionStatusChangeDate&amp;gt;2023-08-10T11:09:38.8+03:00&amp;lt;/DecisionStatusChangeDate&amp;gt;_x000d__x000a_        &amp;lt;DecisionSignatureDate&amp;gt;2023-08-10T11:09:37.237+03:00&amp;lt;/DecisionSignatureDate&amp;gt;_x000d__x000a_        &amp;lt;DecisionSignatureUserID&amp;gt;053515011@GOV.IL&amp;lt;/DecisionSignatureUserID&amp;gt;_x000d__x000a_        &amp;lt;DecisionCreateDate&amp;gt;2023-08-10T11:09:38.82+03:00&amp;lt;/DecisionCreateDate&amp;gt;_x000d__x000a_        &amp;lt;DecisionChangeDate&amp;gt;2023-08-10T11:09:39.02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1147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6659838&amp;lt;/DecisionID&amp;gt;_x000d__x000a_        &amp;lt;CaseID&amp;gt;80433747&amp;lt;/CaseID&amp;gt;_x000d__x000a_        &amp;lt;IsOriginal&amp;gt;true&amp;lt;/IsOriginal&amp;gt;_x000d__x000a_        &amp;lt;IsDeleted&amp;gt;false&amp;lt;/IsDeleted&amp;gt;_x000d__x000a_        &amp;lt;CaseName&amp;gt;בנזכריה נ&amp;#39; מובדט ואח&amp;#39;&amp;lt;/CaseName&amp;gt;_x000d__x000a_        &amp;lt;CaseDisplayIdentifier&amp;gt;36881-07-23 רמ&amp;quot;ש&amp;lt;/CaseDisplayIdentifier&amp;gt;_x000d__x000a_      &amp;lt;/dt_DecisionCase&amp;gt;_x000d__x000a_    &amp;lt;/DecisionDS&amp;gt;_x000d__x000a_  &amp;lt;/diffgr:diffgram&amp;gt;_x000d__x000a_&amp;lt;/DecisionDS&amp;gt;"/>
    <w:docVar w:name="DecisionID" w:val="146659838"/>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77A39"/>
    <w:rsid w:val="002C344E"/>
    <w:rsid w:val="002E5258"/>
    <w:rsid w:val="00307A6A"/>
    <w:rsid w:val="00307C40"/>
    <w:rsid w:val="00320433"/>
    <w:rsid w:val="003230C7"/>
    <w:rsid w:val="00327CB2"/>
    <w:rsid w:val="00327E50"/>
    <w:rsid w:val="0033597A"/>
    <w:rsid w:val="00345A6C"/>
    <w:rsid w:val="00362612"/>
    <w:rsid w:val="0036284C"/>
    <w:rsid w:val="0036743F"/>
    <w:rsid w:val="003715DD"/>
    <w:rsid w:val="003823E0"/>
    <w:rsid w:val="003A4521"/>
    <w:rsid w:val="003D1C8C"/>
    <w:rsid w:val="0040096C"/>
    <w:rsid w:val="00414F1F"/>
    <w:rsid w:val="0043125D"/>
    <w:rsid w:val="0043502B"/>
    <w:rsid w:val="004443AC"/>
    <w:rsid w:val="004C4BDF"/>
    <w:rsid w:val="004D1187"/>
    <w:rsid w:val="004E1987"/>
    <w:rsid w:val="004E2E15"/>
    <w:rsid w:val="004E4BA7"/>
    <w:rsid w:val="004E6E3C"/>
    <w:rsid w:val="004F14F0"/>
    <w:rsid w:val="00516169"/>
    <w:rsid w:val="00520898"/>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46321"/>
    <w:rsid w:val="00870890"/>
    <w:rsid w:val="00873602"/>
    <w:rsid w:val="00875D12"/>
    <w:rsid w:val="00896889"/>
    <w:rsid w:val="008C5714"/>
    <w:rsid w:val="008D10B2"/>
    <w:rsid w:val="00903896"/>
    <w:rsid w:val="00906F3D"/>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686F"/>
    <w:rsid w:val="00AF7FDA"/>
    <w:rsid w:val="00B80CBD"/>
    <w:rsid w:val="00B86096"/>
    <w:rsid w:val="00BA517C"/>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66456"/>
    <w:rsid w:val="00D9273D"/>
    <w:rsid w:val="00D96229"/>
    <w:rsid w:val="00D96D8C"/>
    <w:rsid w:val="00DA4E55"/>
    <w:rsid w:val="00DA6649"/>
    <w:rsid w:val="00DC1259"/>
    <w:rsid w:val="00DC2571"/>
    <w:rsid w:val="00DC487C"/>
    <w:rsid w:val="00DE6BF6"/>
    <w:rsid w:val="00E25884"/>
    <w:rsid w:val="00E31C2B"/>
    <w:rsid w:val="00E5426A"/>
    <w:rsid w:val="00E54642"/>
    <w:rsid w:val="00E90BA2"/>
    <w:rsid w:val="00EB59B3"/>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277A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5222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9B5669" w:rsidP="009B5669">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6105B"/>
    <w:rsid w:val="001A370D"/>
    <w:rsid w:val="00410E40"/>
    <w:rsid w:val="005C53BE"/>
    <w:rsid w:val="008A1B90"/>
    <w:rsid w:val="009133C7"/>
    <w:rsid w:val="00924F53"/>
    <w:rsid w:val="009B5669"/>
    <w:rsid w:val="00AA7CE3"/>
    <w:rsid w:val="00CB2C2C"/>
    <w:rsid w:val="00CD521E"/>
    <w:rsid w:val="00D60229"/>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B566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9B566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יהושוע ננר</FullName>
        <FirstName>יהושוע</FirstName>
        <LastName>ננר</LastName>
        <PartyPropertyName/>
        <AuthenticationTypeAndNumber>מ.ר. 6330</AuthenticationTypeAndNumber>
        <RepresentatedOrRepresentativesNames>נאמתוללה בנזכריה</RepresentatedOrRepresentativesNames>
        <RepresentatedOrRepresentativesCount>1</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258442288</CasePartyID>
        <PartyTypeID>2</PartyTypeID>
        <ActivityStatusID>1</ActivityStatusID>
        <PartyAliasID>22</PartyAliasID>
        <PartyAliasName>בא כוח מבקשים</PartyAliasName>
        <OrdinalNumber>1</OrdinalNumber>
        <LegalEntityID>381506</LegalEntityID>
        <CaseLegalEntityID>125193799</CaseLegalEntityID>
        <AuthenticationTypeID>4</AuthenticationTypeID>
        <AuthenticationTypeName>מ.ר.</AuthenticationTypeName>
        <LegalEntityNumber>6330</LegalEntityNumber>
        <IsMainPartyType>true</IsMainPartyType>
        <CaseDisplayIdentifier>36881-07-23</CaseDisplayIdentifier>
        <CaseTypeID>10074</CaseTypeID>
        <CaseTypeName>רשות ערעור משפחה (רמ"ש)</CaseTypeName>
        <CaseName>בנזכריה נ' מובדט ואח'</CaseName>
        <FullAddress>צור 1/321 מבשרת ציון </FullAddress>
        <EmailAddress>general@neneradv.co.il</EmailAddress>
        <MotionID>0</MotionID>
        <CasePleaID>0</CasePleaID>
        <LinkedCaseID>0</LinkedCaseID>
        <PartyID>1</PartyID>
        <CasePartyCategoryID>2</CasePartyCategoryID>
        <LegalEntityAddressID>87819084</LegalEntityAddressID>
        <LegalEntityEmailAddressID>68258760</LegalEntityEmailAddressID>
        <PleaTypeID>5</PleaTypeID>
        <LawyerOfficeName>משרד עו"ד: יהושוע ננר</LawyerOfficeName>
        <LawyerOfficeID>422150</LawyerOfficeID>
        <GroupPartyAlias/>
        <IsConverted>false</IsConverted>
        <LegalEntityNameID>2490</LegalEntityNameID>
        <RepresentatedNamesOfAssistant/>
        <LegalEntityTypeID>4</LegalEntityTypeID>
        <IsVerdictExists>false</IsVerdictExists>
        <IsAsirAzir>false</IsAsirAzir>
        <IsPublicationProhibited>false</IsPublicationProhibited>
        <PublicationProhibitedFullName>יהושוע ננר</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נאמתוללה בנזכריה</FullName>
        <FirstName>נאמתוללה</FirstName>
        <LastName>בנזכריה</LastName>
        <PartyPropertyName/>
        <AuthenticationTypeAndNumber>דרכון E45618044</AuthenticationTypeAndNumber>
        <RepresentatedOrRepresentativesNames>יהושוע ננר</RepresentatedOrRepresentativesNames>
        <RepresentatedOrRepresentativesCount>1</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258442283</CasePartyID>
        <PartyTypeID>1</PartyTypeID>
        <ActivityStatusID>1</ActivityStatusID>
        <PartyAliasID>3</PartyAliasID>
        <PartyAliasName>מבקש</PartyAliasName>
        <OrdinalNumber>1</OrdinalNumber>
        <LegalEntityID>77732006</LegalEntityID>
        <CaseLegalEntityID>125193794</CaseLegalEntityID>
        <AuthenticationTypeID>2</AuthenticationTypeID>
        <AuthenticationTypeName>דרכון</AuthenticationTypeName>
        <LegalEntityNumber>E45618044</LegalEntityNumber>
        <IsMainPartyType>true</IsMainPartyType>
        <CaseDisplayIdentifier>36881-07-23</CaseDisplayIdentifier>
        <CaseTypeID>10074</CaseTypeID>
        <CaseTypeName>רשות ערעור משפחה (רמ"ש)</CaseTypeName>
        <CaseName>בנזכריה נ' מובדט ואח'</CaseName>
        <FullAddress/>
        <MotionID>0</MotionID>
        <CasePleaID>0</CasePleaID>
        <PassportCountryID>90</PassportCountryID>
        <LinkedCaseID>0</LinkedCaseID>
        <PartyID>1</PartyID>
        <CasePartyCategoryID>2</CasePartyCategoryID>
        <PleaTypeID>5</PleaTypeID>
        <GroupPartyAlias>מבקשים</GroupPartyAlias>
        <IsConverted>false</IsConverted>
        <LegalEntityNameID>86881892</LegalEntityNameID>
        <RepresentatedNamesOfAssistant/>
        <LegalEntityTypeID>2</LegalEntityTypeID>
        <IsVerdictExists>false</IsVerdictExists>
        <IsAsirAzir>false</IsAsirAzir>
        <IsPublicationProhibited>false</IsPublicationProhibited>
        <PublicationProhibitedFullName>נאמתוללה בנזכריה</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שרה מובדט</FullName>
        <FirstName>שרה</FirstName>
        <LastName>מובדט</LastName>
        <PartyPropertyName/>
        <AuthenticationTypeAndNumber>ת"ז 017365982</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258442284</CasePartyID>
        <PartyTypeID>1</PartyTypeID>
        <ActivityStatusID>1</ActivityStatusID>
        <PartyAliasID>4</PartyAliasID>
        <PartyAliasName>משיב</PartyAliasName>
        <OrdinalNumber>1</OrdinalNumber>
        <LegalEntityID>72540695</LegalEntityID>
        <CaseLegalEntityID>125193795</CaseLegalEntityID>
        <AuthenticationTypeID>1</AuthenticationTypeID>
        <AuthenticationTypeName>ת"ז</AuthenticationTypeName>
        <LegalEntityNumber>017365982</LegalEntityNumber>
        <IsMainPartyType>true</IsMainPartyType>
        <CaseDisplayIdentifier>36881-07-23</CaseDisplayIdentifier>
        <CaseTypeID>10074</CaseTypeID>
        <CaseTypeName>רשות ערעור משפחה (רמ"ש)</CaseTypeName>
        <CaseName>בנזכריה נ' מובדט ואח'</CaseName>
        <FullAddress>תל חי 70 רמת גן </FullAddress>
        <MotionID>0</MotionID>
        <CasePleaID>0</CasePleaID>
        <FatherName>מהדי</FatherName>
        <LinkedCaseID>0</LinkedCaseID>
        <PartyID>2</PartyID>
        <CasePartyCategoryID>2</CasePartyCategoryID>
        <LegalEntityAddressID>82031197</LegalEntityAddressID>
        <PleaTypeID>5</PleaTypeID>
        <GroupPartyAlias>משיבים</GroupPartyAlias>
        <IsConverted>false</IsConverted>
        <LegalEntityRegisteredNameID>8142043</LegalEntityRegisteredNameID>
        <LegalEntityNameID>86881893</LegalEntityNameID>
        <RepresentatedNamesOfAssistant/>
        <LegalEntityTypeID>1</LegalEntityTypeID>
        <IsVerdictExists>false</IsVerdictExists>
        <IsAsirAzir>false</IsAsirAzir>
        <IsPublicationProhibited>false</IsPublicationProhibited>
        <PublicationProhibitedFullName>שרה מובדט</PublicationProhibitedFullName>
      </CaseParties>
      <CaseParties>
        <PartyTypeName>צד</PartyTypeName>
        <ProceedingType>כתב טענות עיקרי</ProceedingType>
        <PleaName>כתב בקשה</PleaName>
        <PartyBelonging>צד ב'</PartyBelonging>
        <RoleName>משיב 2 - נתבע</RoleName>
        <IsSubProceeding>FALSE</IsSubProceeding>
        <FullName>יעקב בן זכריה</FullName>
        <FirstName>יעקב</FirstName>
        <LastName>בן זכריה</LastName>
        <PartyPropertyName/>
        <AuthenticationTypeAndNumber>דרכון U32435660</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258442285</CasePartyID>
        <PartyTypeID>1</PartyTypeID>
        <ActivityStatusID>1</ActivityStatusID>
        <PartyAliasID>4</PartyAliasID>
        <PartyAliasName>משיב</PartyAliasName>
        <OrdinalNumber>2</OrdinalNumber>
        <LegalEntityID>77732007</LegalEntityID>
        <CaseLegalEntityID>125193796</CaseLegalEntityID>
        <AuthenticationTypeID>2</AuthenticationTypeID>
        <AuthenticationTypeName>דרכון</AuthenticationTypeName>
        <LegalEntityNumber>U32435660</LegalEntityNumber>
        <IsMainPartyType>true</IsMainPartyType>
        <CaseDisplayIdentifier>36881-07-23</CaseDisplayIdentifier>
        <CaseTypeID>10074</CaseTypeID>
        <CaseTypeName>רשות ערעור משפחה (רמ"ש)</CaseTypeName>
        <CaseName>בנזכריה נ' מובדט ואח'</CaseName>
        <FullAddress/>
        <MotionID>0</MotionID>
        <CasePleaID>0</CasePleaID>
        <PassportCountryID>90</PassportCountryID>
        <LinkedCaseID>0</LinkedCaseID>
        <PartyID>2</PartyID>
        <CasePartyCategoryID>2</CasePartyCategoryID>
        <PleaTypeID>5</PleaTypeID>
        <GroupPartyAlias>משיבים</GroupPartyAlias>
        <IsConverted>false</IsConverted>
        <LegalEntityNameID>86881894</LegalEntityNameID>
        <RepresentatedNamesOfAssistant/>
        <LegalEntityTypeID>2</LegalEntityTypeID>
        <IsVerdictExists>false</IsVerdictExists>
        <IsAsirAzir>false</IsAsirAzir>
        <IsPublicationProhibited>false</IsPublicationProhibited>
        <PublicationProhibitedFullName>יעקב בן זכריה</PublicationProhibitedFullName>
      </CaseParties>
      <CaseParties>
        <PartyTypeName>צד</PartyTypeName>
        <ProceedingType>כתב טענות עיקרי</ProceedingType>
        <PleaName>כתב בקשה</PleaName>
        <PartyBelonging>צד ב'</PartyBelonging>
        <RoleName>משיב 3 - נתבע</RoleName>
        <IsSubProceeding>FALSE</IsSubProceeding>
        <FullName>שיקום ולפתוח הרובע היהודי בעיר העתיקה בי_ם בע"מ</FullName>
        <LastName>שיקום ולפתוח הרובע היהודי בעיר העתיקה בי_ם בע"מ</LastName>
        <PartyPropertyName/>
        <AuthenticationTypeAndNumber>חברות 520028127</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258442286</CasePartyID>
        <PartyTypeID>1</PartyTypeID>
        <ActivityStatusID>1</ActivityStatusID>
        <PartyAliasID>4</PartyAliasID>
        <PartyAliasName>משיב</PartyAliasName>
        <OrdinalNumber>3</OrdinalNumber>
        <LegalEntityID>361611</LegalEntityID>
        <CaseLegalEntityID>125193797</CaseLegalEntityID>
        <AuthenticationTypeID>3</AuthenticationTypeID>
        <AuthenticationTypeName>חברות</AuthenticationTypeName>
        <LegalEntityNumber>520028127</LegalEntityNumber>
        <IsMainPartyType>true</IsMainPartyType>
        <CaseDisplayIdentifier>36881-07-23</CaseDisplayIdentifier>
        <CaseTypeID>10074</CaseTypeID>
        <CaseTypeName>רשות ערעור משפחה (רמ"ש)</CaseTypeName>
        <CaseName>בנזכריה נ' מובדט ואח'</CaseName>
        <FullAddress>בתי מחסה 1 ירושלים </FullAddress>
        <MotionID>0</MotionID>
        <CasePleaID>0</CasePleaID>
        <LinkedCaseID>0</LinkedCaseID>
        <PartyID>2</PartyID>
        <CasePartyCategoryID>2</CasePartyCategoryID>
        <LegalEntityAddressID>78263328</LegalEntityAddressID>
        <PleaTypeID>5</PleaTypeID>
        <GroupPartyAlias>משיבים</GroupPartyAlias>
        <IsConverted>false</IsConverted>
        <LegalEntityRegisteredNameID>324984</LegalEntityRegisteredNameID>
        <RepresentatedNamesOfAssistant/>
        <LegalEntityTypeID>3</LegalEntityTypeID>
        <IsVerdictExists>false</IsVerdictExists>
        <IsAsirAzir>false</IsAsirAzir>
        <IsPublicationProhibited>false</IsPublicationProhibited>
        <PublicationProhibitedFullName>שיקום ולפתוח הרובע היהודי בעיר העתיקה בי_ם בע"מ</PublicationProhibitedFullName>
      </CaseParties>
      <CaseParties>
        <PartyTypeName>צד</PartyTypeName>
        <ProceedingType>כתב טענות עיקרי</ProceedingType>
        <PleaName>כתב בקשה</PleaName>
        <PartyBelonging>צד ב'</PartyBelonging>
        <RoleName>משיב 4 - מבקש</RoleName>
        <IsSubProceeding>FALSE</IsSubProceeding>
        <FullName>ג'ורג' בנזכריה</FullName>
        <FirstName>ג'ורג'</FirstName>
        <LastName>בנזכריה</LastName>
        <PartyPropertyName/>
        <AuthenticationTypeAndNumber>ת"ז 336446265</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258442287</CasePartyID>
        <PartyTypeID>1</PartyTypeID>
        <ActivityStatusID>1</ActivityStatusID>
        <PartyAliasID>4</PartyAliasID>
        <PartyAliasName>משיב</PartyAliasName>
        <OrdinalNumber>4</OrdinalNumber>
        <LegalEntityID>77584432</LegalEntityID>
        <CaseLegalEntityID>125193798</CaseLegalEntityID>
        <AuthenticationTypeID>1</AuthenticationTypeID>
        <AuthenticationTypeName>ת"ז</AuthenticationTypeName>
        <LegalEntityNumber>336446265</LegalEntityNumber>
        <IsMainPartyType>true</IsMainPartyType>
        <CaseDisplayIdentifier>36881-07-23</CaseDisplayIdentifier>
        <CaseTypeID>10074</CaseTypeID>
        <CaseTypeName>רשות ערעור משפחה (רמ"ש)</CaseTypeName>
        <CaseName>בנזכריה נ' מובדט ואח'</CaseName>
        <FullAddress/>
        <MotionID>0</MotionID>
        <CasePleaID>0</CasePleaID>
        <FatherName>נמטאולה</FatherName>
        <LinkedCaseID>0</LinkedCaseID>
        <PartyID>2</PartyID>
        <CasePartyCategoryID>2</CasePartyCategoryID>
        <PleaTypeID>5</PleaTypeID>
        <GroupPartyAlias>משיבים</GroupPartyAlias>
        <IsConverted>false</IsConverted>
        <LegalEntityRegisteredNameID>8314174</LegalEntityRegisteredNameID>
        <LegalEntityNameID>87190540</LegalEntityNameID>
        <RepresentatedNamesOfAssistant/>
        <LegalEntityTypeID>1</LegalEntityTypeID>
        <IsVerdictExists>false</IsVerdictExists>
        <IsAsirAzir>false</IsAsirAzir>
        <IsPublicationProhibited>false</IsPublicationProhibited>
        <PublicationProhibitedFullName>ג'ורג' בנזכריה</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2023-08-10T11:06:57.1941305+03:00</DecisionSignatureDate>
    <OpenCaseDate>2023-07-17T10:36:00+03:00</OpenCaseDate>
    <CaseFeeSum>0.000</CaseFeeSum>
    <DecisionTypeID>1</DecisionTypeID>
    <DecisionSignatureUserName>שאול שוחט</DecisionSignatureUserName>
    <DecisionSignatureDateHebrew>2023-08-10T11:06:57.1941305+03:00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בנזכריה נ' מובדט ואח'</CaseName>
    <DecisionNumberInCase>1</DecisionNumberInCase>
  </dt_Decision>
  <dt_DecisionCase>
    <DecisionID>0</DecisionID>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יהושוע ננר</FullName>
        <FirstName>יהושוע</FirstName>
        <LastName>ננר</LastName>
        <PartyPropertyName/>
        <AuthenticationTypeAndNumber>מ.ר. 6330</AuthenticationTypeAndNumber>
        <RepresentatedOrRepresentativesNames>נאמתוללה בנזכריה</RepresentatedOrRepresentativesNames>
        <RepresentatedOrRepresentativesCount>1</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258442288</CasePartyID>
        <PartyTypeID>2</PartyTypeID>
        <ActivityStatusID>1</ActivityStatusID>
        <PartyAliasID>22</PartyAliasID>
        <PartyAliasName>בא כוח מבקשים</PartyAliasName>
        <OrdinalNumber>1</OrdinalNumber>
        <LegalEntityID>381506</LegalEntityID>
        <CaseLegalEntityID>125193799</CaseLegalEntityID>
        <AuthenticationTypeID>4</AuthenticationTypeID>
        <AuthenticationTypeName>מ.ר.</AuthenticationTypeName>
        <LegalEntityNumber>6330</LegalEntityNumber>
        <IsMainPartyType>true</IsMainPartyType>
        <CaseDisplayIdentifier>36881-07-23</CaseDisplayIdentifier>
        <CaseTypeID>10074</CaseTypeID>
        <CaseTypeName>רשות ערעור משפחה (רמ"ש)</CaseTypeName>
        <CaseName>בנזכריה נ' מובדט ואח'</CaseName>
        <FullAddress>צור 1/321 מבשרת ציון </FullAddress>
        <EmailAddress>general@neneradv.co.il</EmailAddress>
        <MotionID>0</MotionID>
        <CasePleaID>0</CasePleaID>
        <LinkedCaseID>0</LinkedCaseID>
        <PartyID>1</PartyID>
        <CasePartyCategoryID>2</CasePartyCategoryID>
        <LegalEntityAddressID>87819084</LegalEntityAddressID>
        <LegalEntityEmailAddressID>68258760</LegalEntityEmailAddressID>
        <PleaTypeID>5</PleaTypeID>
        <LawyerOfficeName>משרד עו"ד: יהושוע ננר</LawyerOfficeName>
        <LawyerOfficeID>422150</LawyerOfficeID>
        <GroupPartyAlias/>
        <IsConverted>false</IsConverted>
        <LegalEntityNameID>2490</LegalEntityNameID>
        <RepresentatedNamesOfAssistant/>
        <LegalEntityTypeID>4</LegalEntityTypeID>
        <IsVerdictExists>false</IsVerdictExists>
        <IsAsirAzir>false</IsAsirAzir>
        <IsPublicationProhibited>false</IsPublicationProhibited>
        <PublicationProhibitedFullName>יהושוע ננר</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נאמתוללה בנזכריה</FullName>
        <FirstName>נאמתוללה</FirstName>
        <LastName>בנזכריה</LastName>
        <PartyPropertyName/>
        <AuthenticationTypeAndNumber>דרכון E45618044</AuthenticationTypeAndNumber>
        <RepresentatedOrRepresentativesNames>יהושוע ננר</RepresentatedOrRepresentativesNames>
        <RepresentatedOrRepresentativesCount>1</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258442283</CasePartyID>
        <PartyTypeID>1</PartyTypeID>
        <ActivityStatusID>1</ActivityStatusID>
        <PartyAliasID>3</PartyAliasID>
        <PartyAliasName>מבקש</PartyAliasName>
        <OrdinalNumber>1</OrdinalNumber>
        <LegalEntityID>77732006</LegalEntityID>
        <CaseLegalEntityID>125193794</CaseLegalEntityID>
        <AuthenticationTypeID>2</AuthenticationTypeID>
        <AuthenticationTypeName>דרכון</AuthenticationTypeName>
        <LegalEntityNumber>E45618044</LegalEntityNumber>
        <IsMainPartyType>true</IsMainPartyType>
        <CaseDisplayIdentifier>36881-07-23</CaseDisplayIdentifier>
        <CaseTypeID>10074</CaseTypeID>
        <CaseTypeName>רשות ערעור משפחה (רמ"ש)</CaseTypeName>
        <CaseName>בנזכריה נ' מובדט ואח'</CaseName>
        <FullAddress/>
        <MotionID>0</MotionID>
        <CasePleaID>0</CasePleaID>
        <PassportCountryID>90</PassportCountryID>
        <LinkedCaseID>0</LinkedCaseID>
        <PartyID>1</PartyID>
        <CasePartyCategoryID>2</CasePartyCategoryID>
        <PleaTypeID>5</PleaTypeID>
        <GroupPartyAlias>מבקשים</GroupPartyAlias>
        <IsConverted>false</IsConverted>
        <LegalEntityNameID>86881892</LegalEntityNameID>
        <RepresentatedNamesOfAssistant/>
        <LegalEntityTypeID>2</LegalEntityTypeID>
        <IsVerdictExists>false</IsVerdictExists>
        <IsAsirAzir>false</IsAsirAzir>
        <IsPublicationProhibited>false</IsPublicationProhibited>
        <PublicationProhibitedFullName>נאמתוללה בנזכריה</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שרה מובדט</FullName>
        <FirstName>שרה</FirstName>
        <LastName>מובדט</LastName>
        <PartyPropertyName/>
        <AuthenticationTypeAndNumber>ת"ז 017365982</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258442284</CasePartyID>
        <PartyTypeID>1</PartyTypeID>
        <ActivityStatusID>1</ActivityStatusID>
        <PartyAliasID>4</PartyAliasID>
        <PartyAliasName>משיב</PartyAliasName>
        <OrdinalNumber>1</OrdinalNumber>
        <LegalEntityID>72540695</LegalEntityID>
        <CaseLegalEntityID>125193795</CaseLegalEntityID>
        <AuthenticationTypeID>1</AuthenticationTypeID>
        <AuthenticationTypeName>ת"ז</AuthenticationTypeName>
        <LegalEntityNumber>017365982</LegalEntityNumber>
        <IsMainPartyType>true</IsMainPartyType>
        <CaseDisplayIdentifier>36881-07-23</CaseDisplayIdentifier>
        <CaseTypeID>10074</CaseTypeID>
        <CaseTypeName>רשות ערעור משפחה (רמ"ש)</CaseTypeName>
        <CaseName>בנזכריה נ' מובדט ואח'</CaseName>
        <FullAddress>תל חי 70 רמת גן </FullAddress>
        <MotionID>0</MotionID>
        <CasePleaID>0</CasePleaID>
        <FatherName>מהדי</FatherName>
        <LinkedCaseID>0</LinkedCaseID>
        <PartyID>2</PartyID>
        <CasePartyCategoryID>2</CasePartyCategoryID>
        <LegalEntityAddressID>82031197</LegalEntityAddressID>
        <PleaTypeID>5</PleaTypeID>
        <GroupPartyAlias>משיבים</GroupPartyAlias>
        <IsConverted>false</IsConverted>
        <LegalEntityRegisteredNameID>8142043</LegalEntityRegisteredNameID>
        <LegalEntityNameID>86881893</LegalEntityNameID>
        <RepresentatedNamesOfAssistant/>
        <LegalEntityTypeID>1</LegalEntityTypeID>
        <IsVerdictExists>false</IsVerdictExists>
        <IsAsirAzir>false</IsAsirAzir>
        <IsPublicationProhibited>false</IsPublicationProhibited>
        <PublicationProhibitedFullName>שרה מובדט</PublicationProhibitedFullName>
      </CaseParties>
      <CaseParties>
        <PartyTypeName>צד</PartyTypeName>
        <ProceedingType>כתב טענות עיקרי</ProceedingType>
        <PleaName>כתב בקשה</PleaName>
        <PartyBelonging>צד ב'</PartyBelonging>
        <RoleName>משיב 2 - נתבע</RoleName>
        <IsSubProceeding>FALSE</IsSubProceeding>
        <FullName>יעקב בן זכריה</FullName>
        <FirstName>יעקב</FirstName>
        <LastName>בן זכריה</LastName>
        <PartyPropertyName/>
        <AuthenticationTypeAndNumber>דרכון U32435660</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258442285</CasePartyID>
        <PartyTypeID>1</PartyTypeID>
        <ActivityStatusID>1</ActivityStatusID>
        <PartyAliasID>4</PartyAliasID>
        <PartyAliasName>משיב</PartyAliasName>
        <OrdinalNumber>2</OrdinalNumber>
        <LegalEntityID>77732007</LegalEntityID>
        <CaseLegalEntityID>125193796</CaseLegalEntityID>
        <AuthenticationTypeID>2</AuthenticationTypeID>
        <AuthenticationTypeName>דרכון</AuthenticationTypeName>
        <LegalEntityNumber>U32435660</LegalEntityNumber>
        <IsMainPartyType>true</IsMainPartyType>
        <CaseDisplayIdentifier>36881-07-23</CaseDisplayIdentifier>
        <CaseTypeID>10074</CaseTypeID>
        <CaseTypeName>רשות ערעור משפחה (רמ"ש)</CaseTypeName>
        <CaseName>בנזכריה נ' מובדט ואח'</CaseName>
        <FullAddress/>
        <MotionID>0</MotionID>
        <CasePleaID>0</CasePleaID>
        <PassportCountryID>90</PassportCountryID>
        <LinkedCaseID>0</LinkedCaseID>
        <PartyID>2</PartyID>
        <CasePartyCategoryID>2</CasePartyCategoryID>
        <PleaTypeID>5</PleaTypeID>
        <GroupPartyAlias>משיבים</GroupPartyAlias>
        <IsConverted>false</IsConverted>
        <LegalEntityNameID>86881894</LegalEntityNameID>
        <RepresentatedNamesOfAssistant/>
        <LegalEntityTypeID>2</LegalEntityTypeID>
        <IsVerdictExists>false</IsVerdictExists>
        <IsAsirAzir>false</IsAsirAzir>
        <IsPublicationProhibited>false</IsPublicationProhibited>
        <PublicationProhibitedFullName>יעקב בן זכריה</PublicationProhibitedFullName>
      </CaseParties>
      <CaseParties>
        <PartyTypeName>צד</PartyTypeName>
        <ProceedingType>כתב טענות עיקרי</ProceedingType>
        <PleaName>כתב בקשה</PleaName>
        <PartyBelonging>צד ב'</PartyBelonging>
        <RoleName>משיב 3 - נתבע</RoleName>
        <IsSubProceeding>FALSE</IsSubProceeding>
        <FullName>שיקום ולפתוח הרובע היהודי בעיר העתיקה בי_ם בע"מ</FullName>
        <LastName>שיקום ולפתוח הרובע היהודי בעיר העתיקה בי_ם בע"מ</LastName>
        <PartyPropertyName/>
        <AuthenticationTypeAndNumber>חברות 520028127</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258442286</CasePartyID>
        <PartyTypeID>1</PartyTypeID>
        <ActivityStatusID>1</ActivityStatusID>
        <PartyAliasID>4</PartyAliasID>
        <PartyAliasName>משיב</PartyAliasName>
        <OrdinalNumber>3</OrdinalNumber>
        <LegalEntityID>361611</LegalEntityID>
        <CaseLegalEntityID>125193797</CaseLegalEntityID>
        <AuthenticationTypeID>3</AuthenticationTypeID>
        <AuthenticationTypeName>חברות</AuthenticationTypeName>
        <LegalEntityNumber>520028127</LegalEntityNumber>
        <IsMainPartyType>true</IsMainPartyType>
        <CaseDisplayIdentifier>36881-07-23</CaseDisplayIdentifier>
        <CaseTypeID>10074</CaseTypeID>
        <CaseTypeName>רשות ערעור משפחה (רמ"ש)</CaseTypeName>
        <CaseName>בנזכריה נ' מובדט ואח'</CaseName>
        <FullAddress>בתי מחסה 1 ירושלים </FullAddress>
        <MotionID>0</MotionID>
        <CasePleaID>0</CasePleaID>
        <LinkedCaseID>0</LinkedCaseID>
        <PartyID>2</PartyID>
        <CasePartyCategoryID>2</CasePartyCategoryID>
        <LegalEntityAddressID>78263328</LegalEntityAddressID>
        <PleaTypeID>5</PleaTypeID>
        <GroupPartyAlias>משיבים</GroupPartyAlias>
        <IsConverted>false</IsConverted>
        <LegalEntityRegisteredNameID>324984</LegalEntityRegisteredNameID>
        <RepresentatedNamesOfAssistant/>
        <LegalEntityTypeID>3</LegalEntityTypeID>
        <IsVerdictExists>false</IsVerdictExists>
        <IsAsirAzir>false</IsAsirAzir>
        <IsPublicationProhibited>false</IsPublicationProhibited>
        <PublicationProhibitedFullName>שיקום ולפתוח הרובע היהודי בעיר העתיקה בי_ם בע"מ</PublicationProhibitedFullName>
      </CaseParties>
      <CaseParties>
        <PartyTypeName>צד</PartyTypeName>
        <ProceedingType>כתב טענות עיקרי</ProceedingType>
        <PleaName>כתב בקשה</PleaName>
        <PartyBelonging>צד ב'</PartyBelonging>
        <RoleName>משיב 4 - מבקש</RoleName>
        <IsSubProceeding>FALSE</IsSubProceeding>
        <FullName>ג'ורג' בנזכריה</FullName>
        <FirstName>ג'ורג'</FirstName>
        <LastName>בנזכריה</LastName>
        <PartyPropertyName/>
        <AuthenticationTypeAndNumber>ת"ז 336446265</AuthenticationTypeAndNumber>
        <RepresentatedOrRepresentativesNames/>
        <RepresentatedOrRepresentativesCount>0</RepresentatedOrRepresentativesCount>
        <InvitedBy/>
        <CaseID>80433747</CaseID>
        <CaseJudicialPersonPresentationDS>
          <CaseJudicalPersonActive>
            <CaseID>80433747</CaseID>
            <JudicialPersonID>053515011@GOV.IL</JudicialPersonID>
            <JudicialPersonTypeID>1</JudicialPersonTypeID>
            <JudicialTypeID>1</JudicialTypeID>
            <IsChairman>false</IsChairman>
            <TreatmentStartDate>2023-07-17T10:46:32.903+03:00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258442287</CasePartyID>
        <PartyTypeID>1</PartyTypeID>
        <ActivityStatusID>1</ActivityStatusID>
        <PartyAliasID>4</PartyAliasID>
        <PartyAliasName>משיב</PartyAliasName>
        <OrdinalNumber>4</OrdinalNumber>
        <LegalEntityID>77584432</LegalEntityID>
        <CaseLegalEntityID>125193798</CaseLegalEntityID>
        <AuthenticationTypeID>1</AuthenticationTypeID>
        <AuthenticationTypeName>ת"ז</AuthenticationTypeName>
        <LegalEntityNumber>336446265</LegalEntityNumber>
        <IsMainPartyType>true</IsMainPartyType>
        <CaseDisplayIdentifier>36881-07-23</CaseDisplayIdentifier>
        <CaseTypeID>10074</CaseTypeID>
        <CaseTypeName>רשות ערעור משפחה (רמ"ש)</CaseTypeName>
        <CaseName>בנזכריה נ' מובדט ואח'</CaseName>
        <FullAddress/>
        <MotionID>0</MotionID>
        <CasePleaID>0</CasePleaID>
        <FatherName>נמטאולה</FatherName>
        <LinkedCaseID>0</LinkedCaseID>
        <PartyID>2</PartyID>
        <CasePartyCategoryID>2</CasePartyCategoryID>
        <PleaTypeID>5</PleaTypeID>
        <GroupPartyAlias>משיבים</GroupPartyAlias>
        <IsConverted>false</IsConverted>
        <LegalEntityRegisteredNameID>8314174</LegalEntityRegisteredNameID>
        <LegalEntityNameID>87190540</LegalEntityNameID>
        <RepresentatedNamesOfAssistant/>
        <LegalEntityTypeID>1</LegalEntityTypeID>
        <IsVerdictExists>false</IsVerdictExists>
        <IsAsirAzir>false</IsAsirAzir>
        <IsPublicationProhibited>false</IsPublicationProhibited>
        <PublicationProhibitedFullName>ג'ורג' בנזכריה</PublicationProhibitedFullName>
      </CaseParties>
    </CasePartiesSelectionDS>
    <CaseName>בנזכריה נ' מובדט ואח'</CaseName>
    <CaseDisplayIdentifier>36881-07-23</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PartyID>1</PartyID>
    <PartyTypeID>1</PartyTypeID>
    <DecisionID>0</DecisionID>
    <FullName>נאמתוללה בנזכריה</FullName>
    <IsPublicationProhibited>false</IsPublicationProhibited>
  </dt_LegalEntityDetails>
  <dt_LegalEntityDetails>
    <PartyID>2</PartyID>
    <PartyTypeID>1</PartyTypeID>
    <DecisionID>0</DecisionID>
    <StreetName>תל חי 70</StreetName>
    <CityName>רמת גן</CityName>
    <FullName>שרה מובדט</FullName>
    <IsPublicationProhibited>false</IsPublicationProhibited>
  </dt_LegalEntityDetails>
  <dt_LegalEntityDetails>
    <Fax>02-6248316</Fax>
    <Phone>02-6254161</Phone>
    <PartyID>1</PartyID>
    <PartyTypeID>2</PartyTypeID>
    <DecisionID>0</DecisionID>
    <StreetName>צור 1/321</StreetName>
    <ZipCode>907418</ZipCode>
    <CityName>מבשרת ציון</CityName>
    <FullName>יהושוע ננר</FullName>
    <Email>general@neneradv.co.il</Email>
    <IsPublicationProhibited>false</IsPublicationProhibited>
  </dt_LegalEntityDetails>
  <dt_LegalEntityDetails>
    <PartyID>2</PartyID>
    <PartyTypeID>1</PartyTypeID>
    <DecisionID>0</DecisionID>
    <FullName>יעקב בן זכריה</FullName>
    <IsPublicationProhibited>false</IsPublicationProhibited>
  </dt_LegalEntityDetails>
  <dt_LegalEntityDetails>
    <PartyID>2</PartyID>
    <PartyTypeID>1</PartyTypeID>
    <DecisionID>0</DecisionID>
    <StreetName>בתי מחסה 1</StreetName>
    <ZipCode>9751494</ZipCode>
    <CityName>ירושלים</CityName>
    <FullName> שיקום ולפתוח הרובע היהודי בעיר העתיקה בי_ם בע"מ</FullName>
    <IsPublicationProhibited>false</IsPublicationProhibited>
  </dt_LegalEntityDetails>
  <dt_LegalEntityDetails>
    <PartyID>2</PartyID>
    <PartyTypeID>1</PartyTypeID>
    <DecisionID>0</DecisionID>
    <FullName>ג'ורג' בנזכריה</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7BF72A11-2B1B-4B7B-98E2-83FF6946D6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5294</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2023-08-13T11:59:00Z</dcterms:created>
  <dcterms:modified xsi:type="dcterms:W3CDTF">2023-08-13T11:59:00Z</dcterms:modified>
</cp:coreProperties>
</file>